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AD4" w:rsidRPr="0086105B" w:rsidRDefault="00530AD4" w:rsidP="0086105B">
      <w:pPr>
        <w:pStyle w:val="Heading"/>
      </w:pPr>
      <w:r w:rsidRPr="0086105B">
        <w:t>Teaching notes</w:t>
      </w:r>
    </w:p>
    <w:p w:rsidR="00530AD4" w:rsidRPr="0086105B" w:rsidRDefault="00530AD4" w:rsidP="00530AD4">
      <w:pPr>
        <w:spacing w:after="0"/>
        <w:rPr>
          <w:rFonts w:ascii="Trebuchet MS" w:hAnsi="Trebuchet MS" w:cs="Arial"/>
        </w:rPr>
      </w:pPr>
    </w:p>
    <w:p w:rsidR="00EE5702" w:rsidRPr="0086105B" w:rsidRDefault="00EE5702" w:rsidP="00EE5702">
      <w:pPr>
        <w:rPr>
          <w:rFonts w:ascii="Trebuchet MS" w:hAnsi="Trebuchet MS"/>
          <w:szCs w:val="22"/>
        </w:rPr>
      </w:pPr>
      <w:r w:rsidRPr="0086105B">
        <w:rPr>
          <w:rFonts w:ascii="Trebuchet MS" w:hAnsi="Trebuchet MS"/>
          <w:szCs w:val="22"/>
        </w:rPr>
        <w:t xml:space="preserve">This activity is </w:t>
      </w:r>
      <w:r w:rsidR="00410B97" w:rsidRPr="0086105B">
        <w:rPr>
          <w:rFonts w:ascii="Trebuchet MS" w:hAnsi="Trebuchet MS"/>
          <w:szCs w:val="22"/>
        </w:rPr>
        <w:t xml:space="preserve">a </w:t>
      </w:r>
      <w:r w:rsidRPr="0086105B">
        <w:rPr>
          <w:rFonts w:ascii="Trebuchet MS" w:hAnsi="Trebuchet MS"/>
          <w:szCs w:val="22"/>
        </w:rPr>
        <w:t xml:space="preserve">sorting </w:t>
      </w:r>
      <w:r w:rsidR="00410B97" w:rsidRPr="0086105B">
        <w:rPr>
          <w:rFonts w:ascii="Trebuchet MS" w:hAnsi="Trebuchet MS"/>
          <w:szCs w:val="22"/>
        </w:rPr>
        <w:t xml:space="preserve">task to be completed in groups, to facilitate discussion </w:t>
      </w:r>
      <w:r w:rsidRPr="0086105B">
        <w:rPr>
          <w:rFonts w:ascii="Trebuchet MS" w:hAnsi="Trebuchet MS"/>
          <w:szCs w:val="22"/>
        </w:rPr>
        <w:t xml:space="preserve">before studying the events of the </w:t>
      </w:r>
      <w:r w:rsidR="00410B97" w:rsidRPr="0086105B">
        <w:rPr>
          <w:rFonts w:ascii="Trebuchet MS" w:hAnsi="Trebuchet MS"/>
          <w:szCs w:val="22"/>
        </w:rPr>
        <w:t>c</w:t>
      </w:r>
      <w:r w:rsidRPr="0086105B">
        <w:rPr>
          <w:rFonts w:ascii="Trebuchet MS" w:hAnsi="Trebuchet MS"/>
          <w:szCs w:val="22"/>
        </w:rPr>
        <w:t>onquest after Hastings.  Predictions could be made about how William might have solved certain problems.</w:t>
      </w:r>
    </w:p>
    <w:p w:rsidR="00EE5702" w:rsidRPr="0086105B" w:rsidRDefault="00EE5702" w:rsidP="00EE5702">
      <w:pPr>
        <w:rPr>
          <w:rFonts w:ascii="Trebuchet MS" w:hAnsi="Trebuchet MS"/>
          <w:szCs w:val="22"/>
        </w:rPr>
      </w:pPr>
    </w:p>
    <w:p w:rsidR="00EE5702" w:rsidRPr="0086105B" w:rsidRDefault="00EE5702" w:rsidP="00EE5702">
      <w:pPr>
        <w:rPr>
          <w:rFonts w:ascii="Trebuchet MS" w:hAnsi="Trebuchet MS"/>
          <w:szCs w:val="22"/>
        </w:rPr>
      </w:pPr>
      <w:r w:rsidRPr="0086105B">
        <w:rPr>
          <w:rFonts w:ascii="Trebuchet MS" w:hAnsi="Trebuchet MS"/>
          <w:szCs w:val="22"/>
        </w:rPr>
        <w:t xml:space="preserve">After the narrative of the </w:t>
      </w:r>
      <w:r w:rsidR="00410B97" w:rsidRPr="0086105B">
        <w:rPr>
          <w:rFonts w:ascii="Trebuchet MS" w:hAnsi="Trebuchet MS"/>
          <w:szCs w:val="22"/>
        </w:rPr>
        <w:t>c</w:t>
      </w:r>
      <w:r w:rsidRPr="0086105B">
        <w:rPr>
          <w:rFonts w:ascii="Trebuchet MS" w:hAnsi="Trebuchet MS"/>
          <w:szCs w:val="22"/>
        </w:rPr>
        <w:t>onquest itself has been explored, students can then use a timeline to identify the moments of:</w:t>
      </w:r>
    </w:p>
    <w:p w:rsidR="00EE5702" w:rsidRPr="0086105B" w:rsidRDefault="00EE5702" w:rsidP="00EE5702">
      <w:pPr>
        <w:rPr>
          <w:rFonts w:ascii="Trebuchet MS" w:hAnsi="Trebuchet MS"/>
          <w:szCs w:val="22"/>
        </w:rPr>
      </w:pPr>
    </w:p>
    <w:p w:rsidR="00EE5702" w:rsidRPr="0086105B" w:rsidRDefault="00410B97" w:rsidP="00EE5702">
      <w:pPr>
        <w:pStyle w:val="ListParagraph"/>
        <w:numPr>
          <w:ilvl w:val="0"/>
          <w:numId w:val="29"/>
        </w:numPr>
        <w:spacing w:after="0" w:line="240" w:lineRule="auto"/>
        <w:rPr>
          <w:rFonts w:ascii="Trebuchet MS" w:hAnsi="Trebuchet MS"/>
          <w:szCs w:val="22"/>
        </w:rPr>
      </w:pPr>
      <w:r w:rsidRPr="0086105B">
        <w:rPr>
          <w:rFonts w:ascii="Trebuchet MS" w:hAnsi="Trebuchet MS"/>
          <w:szCs w:val="22"/>
        </w:rPr>
        <w:t>g</w:t>
      </w:r>
      <w:r w:rsidR="00EE5702" w:rsidRPr="0086105B">
        <w:rPr>
          <w:rFonts w:ascii="Trebuchet MS" w:hAnsi="Trebuchet MS"/>
          <w:szCs w:val="22"/>
        </w:rPr>
        <w:t xml:space="preserve">reatest level </w:t>
      </w:r>
      <w:r w:rsidRPr="0086105B">
        <w:rPr>
          <w:rFonts w:ascii="Trebuchet MS" w:hAnsi="Trebuchet MS"/>
          <w:szCs w:val="22"/>
        </w:rPr>
        <w:t>of threat to William’s position</w:t>
      </w:r>
    </w:p>
    <w:p w:rsidR="00EE5702" w:rsidRPr="0086105B" w:rsidRDefault="00EE5702" w:rsidP="00EE5702">
      <w:pPr>
        <w:pStyle w:val="ListParagraph"/>
        <w:spacing w:after="0" w:line="240" w:lineRule="auto"/>
        <w:ind w:left="360"/>
        <w:rPr>
          <w:rFonts w:ascii="Trebuchet MS" w:hAnsi="Trebuchet MS"/>
          <w:szCs w:val="22"/>
        </w:rPr>
      </w:pPr>
    </w:p>
    <w:p w:rsidR="00EE5702" w:rsidRPr="0086105B" w:rsidRDefault="00410B97" w:rsidP="00EE5702">
      <w:pPr>
        <w:pStyle w:val="ListParagraph"/>
        <w:numPr>
          <w:ilvl w:val="0"/>
          <w:numId w:val="29"/>
        </w:numPr>
        <w:spacing w:after="0" w:line="240" w:lineRule="auto"/>
        <w:rPr>
          <w:rFonts w:ascii="Trebuchet MS" w:hAnsi="Trebuchet MS"/>
          <w:szCs w:val="22"/>
        </w:rPr>
      </w:pPr>
      <w:r w:rsidRPr="0086105B">
        <w:rPr>
          <w:rFonts w:ascii="Trebuchet MS" w:hAnsi="Trebuchet MS"/>
          <w:szCs w:val="22"/>
        </w:rPr>
        <w:t>w</w:t>
      </w:r>
      <w:r w:rsidR="00EE5702" w:rsidRPr="0086105B">
        <w:rPr>
          <w:rFonts w:ascii="Trebuchet MS" w:hAnsi="Trebuchet MS"/>
          <w:szCs w:val="22"/>
        </w:rPr>
        <w:t>hen there w</w:t>
      </w:r>
      <w:r w:rsidRPr="0086105B">
        <w:rPr>
          <w:rFonts w:ascii="Trebuchet MS" w:hAnsi="Trebuchet MS"/>
          <w:szCs w:val="22"/>
        </w:rPr>
        <w:t>as the most peace and stability</w:t>
      </w:r>
    </w:p>
    <w:p w:rsidR="00EE5702" w:rsidRPr="0086105B" w:rsidRDefault="00EE5702" w:rsidP="00EE5702">
      <w:pPr>
        <w:pStyle w:val="ListParagraph"/>
        <w:spacing w:after="0" w:line="240" w:lineRule="auto"/>
        <w:ind w:left="360"/>
        <w:rPr>
          <w:rFonts w:ascii="Trebuchet MS" w:hAnsi="Trebuchet MS"/>
          <w:szCs w:val="22"/>
        </w:rPr>
      </w:pPr>
    </w:p>
    <w:p w:rsidR="00EE5702" w:rsidRPr="0086105B" w:rsidRDefault="00410B97" w:rsidP="00EE5702">
      <w:pPr>
        <w:pStyle w:val="ListParagraph"/>
        <w:numPr>
          <w:ilvl w:val="0"/>
          <w:numId w:val="29"/>
        </w:numPr>
        <w:spacing w:after="0" w:line="240" w:lineRule="auto"/>
        <w:rPr>
          <w:rFonts w:ascii="Trebuchet MS" w:hAnsi="Trebuchet MS"/>
          <w:szCs w:val="22"/>
        </w:rPr>
      </w:pPr>
      <w:proofErr w:type="gramStart"/>
      <w:r w:rsidRPr="0086105B">
        <w:rPr>
          <w:rFonts w:ascii="Trebuchet MS" w:hAnsi="Trebuchet MS"/>
          <w:szCs w:val="22"/>
        </w:rPr>
        <w:t>w</w:t>
      </w:r>
      <w:r w:rsidR="00EE5702" w:rsidRPr="0086105B">
        <w:rPr>
          <w:rFonts w:ascii="Trebuchet MS" w:hAnsi="Trebuchet MS"/>
          <w:szCs w:val="22"/>
        </w:rPr>
        <w:t>hen</w:t>
      </w:r>
      <w:proofErr w:type="gramEnd"/>
      <w:r w:rsidR="00EE5702" w:rsidRPr="0086105B">
        <w:rPr>
          <w:rFonts w:ascii="Trebuchet MS" w:hAnsi="Trebuchet MS"/>
          <w:szCs w:val="22"/>
        </w:rPr>
        <w:t xml:space="preserve"> William showed the best leadership skills.</w:t>
      </w:r>
    </w:p>
    <w:p w:rsidR="00EE5702" w:rsidRPr="0086105B" w:rsidRDefault="00EE5702" w:rsidP="00EE5702">
      <w:pPr>
        <w:rPr>
          <w:rFonts w:ascii="Trebuchet MS" w:hAnsi="Trebuchet MS"/>
          <w:szCs w:val="22"/>
        </w:rPr>
      </w:pPr>
    </w:p>
    <w:p w:rsidR="00EE5702" w:rsidRPr="0086105B" w:rsidRDefault="00410B97" w:rsidP="00EE5702">
      <w:pPr>
        <w:rPr>
          <w:rFonts w:ascii="Trebuchet MS" w:hAnsi="Trebuchet MS"/>
          <w:szCs w:val="22"/>
        </w:rPr>
      </w:pPr>
      <w:r w:rsidRPr="0086105B">
        <w:rPr>
          <w:rFonts w:ascii="Trebuchet MS" w:hAnsi="Trebuchet MS"/>
          <w:szCs w:val="22"/>
        </w:rPr>
        <w:t>S</w:t>
      </w:r>
      <w:r w:rsidR="00EE5702" w:rsidRPr="0086105B">
        <w:rPr>
          <w:rFonts w:ascii="Trebuchet MS" w:hAnsi="Trebuchet MS"/>
          <w:szCs w:val="22"/>
        </w:rPr>
        <w:t>tudents should develop their understanding of which problems were apparent in 1066, how completely they were solved in the remainder of William’s reign, and which new problems presented themselves by 1087 (AOs 1 and 2).</w:t>
      </w:r>
    </w:p>
    <w:p w:rsidR="00530AD4" w:rsidRPr="0086105B" w:rsidRDefault="00530AD4" w:rsidP="00530AD4">
      <w:pPr>
        <w:spacing w:after="0"/>
        <w:rPr>
          <w:rFonts w:ascii="Trebuchet MS" w:hAnsi="Trebuchet MS" w:cs="Arial"/>
        </w:rPr>
      </w:pPr>
    </w:p>
    <w:p w:rsidR="008148D3" w:rsidRPr="0086105B" w:rsidRDefault="008148D3" w:rsidP="00530AD4">
      <w:pPr>
        <w:spacing w:after="0"/>
        <w:rPr>
          <w:rFonts w:ascii="Trebuchet MS" w:hAnsi="Trebuchet MS" w:cs="Arial"/>
          <w:b/>
        </w:rPr>
        <w:sectPr w:rsidR="008148D3" w:rsidRPr="0086105B" w:rsidSect="004E3635">
          <w:headerReference w:type="default" r:id="rId9"/>
          <w:footerReference w:type="default" r:id="rId10"/>
          <w:headerReference w:type="first" r:id="rId11"/>
          <w:footerReference w:type="first" r:id="rId12"/>
          <w:pgSz w:w="11907" w:h="16839" w:code="9"/>
          <w:pgMar w:top="1134" w:right="1134" w:bottom="851" w:left="1134" w:header="709" w:footer="709" w:gutter="0"/>
          <w:cols w:space="708"/>
          <w:titlePg/>
          <w:docGrid w:linePitch="360"/>
        </w:sectPr>
      </w:pPr>
    </w:p>
    <w:p w:rsidR="009C1C75" w:rsidRPr="0086105B" w:rsidRDefault="00EE5702" w:rsidP="0086105B">
      <w:pPr>
        <w:widowControl w:val="0"/>
        <w:shd w:val="clear" w:color="auto" w:fill="DAEEF3" w:themeFill="accent5" w:themeFillTint="33"/>
        <w:autoSpaceDE w:val="0"/>
        <w:autoSpaceDN w:val="0"/>
        <w:adjustRightInd w:val="0"/>
        <w:spacing w:after="0"/>
        <w:rPr>
          <w:rFonts w:ascii="Trebuchet MS" w:hAnsi="Trebuchet MS" w:cs="Arial"/>
          <w:b/>
          <w:color w:val="000000" w:themeColor="text1"/>
          <w:szCs w:val="22"/>
        </w:rPr>
      </w:pPr>
      <w:r w:rsidRPr="0086105B">
        <w:rPr>
          <w:rFonts w:ascii="Trebuchet MS" w:hAnsi="Trebuchet MS" w:cs="Arial"/>
          <w:b/>
          <w:color w:val="000000" w:themeColor="text1"/>
          <w:szCs w:val="22"/>
        </w:rPr>
        <w:lastRenderedPageBreak/>
        <w:t>Analysis grid</w:t>
      </w:r>
    </w:p>
    <w:p w:rsidR="00EE5702" w:rsidRPr="0086105B" w:rsidRDefault="00EE5702" w:rsidP="00EE5702">
      <w:pPr>
        <w:widowControl w:val="0"/>
        <w:autoSpaceDE w:val="0"/>
        <w:autoSpaceDN w:val="0"/>
        <w:adjustRightInd w:val="0"/>
        <w:spacing w:after="0"/>
        <w:rPr>
          <w:rFonts w:ascii="Trebuchet MS" w:hAnsi="Trebuchet MS" w:cs="Arial"/>
          <w:b/>
          <w:color w:val="4F81BD" w:themeColor="accent1"/>
          <w:szCs w:val="22"/>
        </w:rPr>
      </w:pPr>
    </w:p>
    <w:tbl>
      <w:tblPr>
        <w:tblStyle w:val="TableGrid"/>
        <w:tblW w:w="14601" w:type="dxa"/>
        <w:tblInd w:w="108"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ayout w:type="fixed"/>
        <w:tblCellMar>
          <w:top w:w="57" w:type="dxa"/>
          <w:bottom w:w="57" w:type="dxa"/>
        </w:tblCellMar>
        <w:tblLook w:val="04A0" w:firstRow="1" w:lastRow="0" w:firstColumn="1" w:lastColumn="0" w:noHBand="0" w:noVBand="1"/>
      </w:tblPr>
      <w:tblGrid>
        <w:gridCol w:w="7246"/>
        <w:gridCol w:w="7355"/>
      </w:tblGrid>
      <w:tr w:rsidR="00EE5702" w:rsidRPr="0086105B" w:rsidTr="0086105B">
        <w:trPr>
          <w:trHeight w:val="624"/>
        </w:trPr>
        <w:tc>
          <w:tcPr>
            <w:tcW w:w="7246" w:type="dxa"/>
            <w:shd w:val="clear" w:color="auto" w:fill="DAEEF3" w:themeFill="accent5" w:themeFillTint="33"/>
            <w:vAlign w:val="center"/>
          </w:tcPr>
          <w:p w:rsidR="00EE5702" w:rsidRPr="0086105B" w:rsidRDefault="00EE5702" w:rsidP="00EE5702">
            <w:pPr>
              <w:spacing w:after="0"/>
              <w:rPr>
                <w:rFonts w:ascii="Trebuchet MS" w:hAnsi="Trebuchet MS"/>
                <w:b/>
                <w:szCs w:val="22"/>
              </w:rPr>
            </w:pPr>
            <w:r w:rsidRPr="0086105B">
              <w:rPr>
                <w:rFonts w:ascii="Trebuchet MS" w:hAnsi="Trebuchet MS"/>
                <w:b/>
                <w:szCs w:val="22"/>
              </w:rPr>
              <w:t>Strengths</w:t>
            </w:r>
          </w:p>
          <w:p w:rsidR="00EE5702" w:rsidRPr="0086105B" w:rsidRDefault="00EE5702" w:rsidP="00EE5702">
            <w:pPr>
              <w:spacing w:after="0"/>
              <w:rPr>
                <w:rFonts w:ascii="Trebuchet MS" w:hAnsi="Trebuchet MS"/>
                <w:szCs w:val="22"/>
              </w:rPr>
            </w:pPr>
            <w:r w:rsidRPr="0086105B">
              <w:rPr>
                <w:rFonts w:ascii="Trebuchet MS" w:hAnsi="Trebuchet MS"/>
                <w:szCs w:val="22"/>
              </w:rPr>
              <w:t>(of William and the Normans)</w:t>
            </w:r>
          </w:p>
        </w:tc>
        <w:tc>
          <w:tcPr>
            <w:tcW w:w="7355" w:type="dxa"/>
            <w:shd w:val="clear" w:color="auto" w:fill="DAEEF3" w:themeFill="accent5" w:themeFillTint="33"/>
            <w:vAlign w:val="center"/>
          </w:tcPr>
          <w:p w:rsidR="00EE5702" w:rsidRPr="0086105B" w:rsidRDefault="00EE5702" w:rsidP="00EE5702">
            <w:pPr>
              <w:spacing w:after="0"/>
              <w:rPr>
                <w:rFonts w:ascii="Trebuchet MS" w:hAnsi="Trebuchet MS"/>
                <w:b/>
                <w:szCs w:val="22"/>
              </w:rPr>
            </w:pPr>
            <w:r w:rsidRPr="0086105B">
              <w:rPr>
                <w:rFonts w:ascii="Trebuchet MS" w:hAnsi="Trebuchet MS"/>
                <w:b/>
                <w:szCs w:val="22"/>
              </w:rPr>
              <w:t>Weaknesses</w:t>
            </w:r>
          </w:p>
          <w:p w:rsidR="00EE5702" w:rsidRPr="0086105B" w:rsidRDefault="00EE5702" w:rsidP="00EE5702">
            <w:pPr>
              <w:spacing w:after="0"/>
              <w:rPr>
                <w:rFonts w:ascii="Trebuchet MS" w:hAnsi="Trebuchet MS"/>
                <w:szCs w:val="22"/>
              </w:rPr>
            </w:pPr>
            <w:r w:rsidRPr="0086105B">
              <w:rPr>
                <w:rFonts w:ascii="Trebuchet MS" w:hAnsi="Trebuchet MS"/>
                <w:szCs w:val="22"/>
              </w:rPr>
              <w:t>(of William and the Normans)</w:t>
            </w:r>
          </w:p>
        </w:tc>
      </w:tr>
      <w:tr w:rsidR="00EE5702" w:rsidRPr="0086105B" w:rsidTr="0086105B">
        <w:trPr>
          <w:trHeight w:val="3402"/>
        </w:trPr>
        <w:tc>
          <w:tcPr>
            <w:tcW w:w="7246" w:type="dxa"/>
            <w:vAlign w:val="center"/>
          </w:tcPr>
          <w:p w:rsidR="00EE5702" w:rsidRPr="0086105B" w:rsidRDefault="00EE5702" w:rsidP="00EE5702">
            <w:pPr>
              <w:spacing w:after="0"/>
              <w:rPr>
                <w:rFonts w:ascii="Trebuchet MS" w:hAnsi="Trebuchet MS"/>
                <w:szCs w:val="22"/>
              </w:rPr>
            </w:pPr>
          </w:p>
        </w:tc>
        <w:tc>
          <w:tcPr>
            <w:tcW w:w="7355" w:type="dxa"/>
            <w:vAlign w:val="center"/>
          </w:tcPr>
          <w:p w:rsidR="00EE5702" w:rsidRPr="0086105B" w:rsidRDefault="00EE5702" w:rsidP="00EE5702">
            <w:pPr>
              <w:spacing w:after="0"/>
              <w:rPr>
                <w:rFonts w:ascii="Trebuchet MS" w:hAnsi="Trebuchet MS"/>
                <w:szCs w:val="22"/>
              </w:rPr>
            </w:pPr>
          </w:p>
        </w:tc>
      </w:tr>
      <w:tr w:rsidR="00EE5702" w:rsidRPr="0086105B" w:rsidTr="0086105B">
        <w:trPr>
          <w:trHeight w:val="624"/>
        </w:trPr>
        <w:tc>
          <w:tcPr>
            <w:tcW w:w="7246" w:type="dxa"/>
            <w:shd w:val="clear" w:color="auto" w:fill="DAEEF3" w:themeFill="accent5" w:themeFillTint="33"/>
            <w:vAlign w:val="center"/>
          </w:tcPr>
          <w:p w:rsidR="00EE5702" w:rsidRPr="0086105B" w:rsidRDefault="00EE5702" w:rsidP="00EE5702">
            <w:pPr>
              <w:spacing w:after="0"/>
              <w:rPr>
                <w:rFonts w:ascii="Trebuchet MS" w:hAnsi="Trebuchet MS"/>
                <w:b/>
                <w:szCs w:val="22"/>
              </w:rPr>
            </w:pPr>
            <w:r w:rsidRPr="0086105B">
              <w:rPr>
                <w:rFonts w:ascii="Trebuchet MS" w:hAnsi="Trebuchet MS"/>
                <w:b/>
                <w:szCs w:val="22"/>
              </w:rPr>
              <w:t>Opportunities</w:t>
            </w:r>
          </w:p>
          <w:p w:rsidR="00EE5702" w:rsidRPr="0086105B" w:rsidRDefault="00EE5702" w:rsidP="00EE5702">
            <w:pPr>
              <w:spacing w:after="0"/>
              <w:rPr>
                <w:rFonts w:ascii="Trebuchet MS" w:hAnsi="Trebuchet MS"/>
                <w:szCs w:val="22"/>
              </w:rPr>
            </w:pPr>
            <w:r w:rsidRPr="0086105B">
              <w:rPr>
                <w:rFonts w:ascii="Trebuchet MS" w:hAnsi="Trebuchet MS"/>
                <w:szCs w:val="22"/>
              </w:rPr>
              <w:t>(things in England that could help William)</w:t>
            </w:r>
          </w:p>
        </w:tc>
        <w:tc>
          <w:tcPr>
            <w:tcW w:w="7355" w:type="dxa"/>
            <w:shd w:val="clear" w:color="auto" w:fill="DAEEF3" w:themeFill="accent5" w:themeFillTint="33"/>
            <w:vAlign w:val="center"/>
          </w:tcPr>
          <w:p w:rsidR="00EE5702" w:rsidRPr="0086105B" w:rsidRDefault="00EE5702" w:rsidP="00EE5702">
            <w:pPr>
              <w:spacing w:after="0"/>
              <w:rPr>
                <w:rFonts w:ascii="Trebuchet MS" w:hAnsi="Trebuchet MS"/>
                <w:b/>
                <w:szCs w:val="22"/>
              </w:rPr>
            </w:pPr>
            <w:r w:rsidRPr="0086105B">
              <w:rPr>
                <w:rFonts w:ascii="Trebuchet MS" w:hAnsi="Trebuchet MS"/>
                <w:b/>
                <w:szCs w:val="22"/>
              </w:rPr>
              <w:t>Threats</w:t>
            </w:r>
          </w:p>
          <w:p w:rsidR="00EE5702" w:rsidRPr="0086105B" w:rsidRDefault="00EE5702" w:rsidP="00EE5702">
            <w:pPr>
              <w:spacing w:after="0"/>
              <w:rPr>
                <w:rFonts w:ascii="Trebuchet MS" w:hAnsi="Trebuchet MS"/>
                <w:szCs w:val="22"/>
              </w:rPr>
            </w:pPr>
            <w:r w:rsidRPr="0086105B">
              <w:rPr>
                <w:rFonts w:ascii="Trebuchet MS" w:hAnsi="Trebuchet MS"/>
                <w:szCs w:val="22"/>
              </w:rPr>
              <w:t>(things in England that could challenge William)</w:t>
            </w:r>
          </w:p>
        </w:tc>
      </w:tr>
      <w:tr w:rsidR="00EE5702" w:rsidRPr="0086105B" w:rsidTr="0086105B">
        <w:trPr>
          <w:trHeight w:val="3402"/>
        </w:trPr>
        <w:tc>
          <w:tcPr>
            <w:tcW w:w="7246" w:type="dxa"/>
            <w:vAlign w:val="center"/>
          </w:tcPr>
          <w:p w:rsidR="00EE5702" w:rsidRPr="0086105B" w:rsidRDefault="00EE5702" w:rsidP="00EE5702">
            <w:pPr>
              <w:spacing w:after="0"/>
              <w:rPr>
                <w:rFonts w:ascii="Trebuchet MS" w:hAnsi="Trebuchet MS"/>
                <w:szCs w:val="22"/>
              </w:rPr>
            </w:pPr>
          </w:p>
        </w:tc>
        <w:tc>
          <w:tcPr>
            <w:tcW w:w="7355" w:type="dxa"/>
            <w:vAlign w:val="center"/>
          </w:tcPr>
          <w:p w:rsidR="00EE5702" w:rsidRPr="0086105B" w:rsidRDefault="00EE5702" w:rsidP="00EE5702">
            <w:pPr>
              <w:spacing w:after="0"/>
              <w:rPr>
                <w:rFonts w:ascii="Trebuchet MS" w:hAnsi="Trebuchet MS"/>
                <w:szCs w:val="22"/>
              </w:rPr>
            </w:pPr>
          </w:p>
        </w:tc>
      </w:tr>
    </w:tbl>
    <w:p w:rsidR="00EE5702" w:rsidRPr="0086105B" w:rsidRDefault="00EE5702" w:rsidP="00EE5702">
      <w:pPr>
        <w:widowControl w:val="0"/>
        <w:autoSpaceDE w:val="0"/>
        <w:autoSpaceDN w:val="0"/>
        <w:adjustRightInd w:val="0"/>
        <w:spacing w:after="0"/>
        <w:rPr>
          <w:rFonts w:ascii="Trebuchet MS" w:hAnsi="Trebuchet MS" w:cs="Arial"/>
          <w:b/>
          <w:color w:val="4F81BD" w:themeColor="accent1"/>
          <w:szCs w:val="22"/>
        </w:rPr>
        <w:sectPr w:rsidR="00EE5702" w:rsidRPr="0086105B" w:rsidSect="00EE5702">
          <w:footerReference w:type="default" r:id="rId13"/>
          <w:pgSz w:w="16839" w:h="11907" w:orient="landscape" w:code="9"/>
          <w:pgMar w:top="1134" w:right="1134" w:bottom="851" w:left="1134" w:header="709" w:footer="709" w:gutter="0"/>
          <w:cols w:space="708"/>
          <w:docGrid w:linePitch="360"/>
        </w:sectPr>
      </w:pPr>
    </w:p>
    <w:tbl>
      <w:tblPr>
        <w:tblStyle w:val="TableGrid"/>
        <w:tblpPr w:leftFromText="180" w:rightFromText="180" w:vertAnchor="text" w:horzAnchor="margin" w:tblpX="108" w:tblpY="-95"/>
        <w:tblW w:w="4926" w:type="pct"/>
        <w:tblBorders>
          <w:top w:val="dashed" w:sz="4" w:space="0" w:color="4F81BD" w:themeColor="accent1"/>
          <w:left w:val="dashed" w:sz="4" w:space="0" w:color="4F81BD" w:themeColor="accent1"/>
          <w:bottom w:val="dashed" w:sz="4" w:space="0" w:color="4F81BD" w:themeColor="accent1"/>
          <w:right w:val="dashed" w:sz="4" w:space="0" w:color="4F81BD" w:themeColor="accent1"/>
          <w:insideH w:val="dashed" w:sz="4" w:space="0" w:color="4F81BD" w:themeColor="accent1"/>
          <w:insideV w:val="dashed" w:sz="4" w:space="0" w:color="4F81BD" w:themeColor="accent1"/>
        </w:tblBorders>
        <w:tblCellMar>
          <w:top w:w="57" w:type="dxa"/>
          <w:bottom w:w="57" w:type="dxa"/>
        </w:tblCellMar>
        <w:tblLook w:val="04A0" w:firstRow="1" w:lastRow="0" w:firstColumn="1" w:lastColumn="0" w:noHBand="0" w:noVBand="1"/>
      </w:tblPr>
      <w:tblGrid>
        <w:gridCol w:w="7395"/>
        <w:gridCol w:w="7173"/>
      </w:tblGrid>
      <w:tr w:rsidR="00EE5702" w:rsidRPr="0086105B" w:rsidTr="0086105B">
        <w:trPr>
          <w:trHeight w:val="794"/>
        </w:trPr>
        <w:tc>
          <w:tcPr>
            <w:tcW w:w="2538" w:type="pct"/>
            <w:vAlign w:val="center"/>
          </w:tcPr>
          <w:p w:rsidR="00EE5702" w:rsidRPr="0086105B" w:rsidRDefault="00EE5702" w:rsidP="0086105B">
            <w:pPr>
              <w:spacing w:before="60" w:after="60"/>
              <w:ind w:left="170" w:right="170"/>
              <w:rPr>
                <w:rFonts w:ascii="Trebuchet MS" w:hAnsi="Trebuchet MS"/>
                <w:szCs w:val="22"/>
              </w:rPr>
            </w:pPr>
            <w:r w:rsidRPr="0086105B">
              <w:rPr>
                <w:rFonts w:ascii="Trebuchet MS" w:hAnsi="Trebuchet MS"/>
                <w:szCs w:val="22"/>
              </w:rPr>
              <w:lastRenderedPageBreak/>
              <w:t>Local government was well-organised and effi</w:t>
            </w:r>
            <w:bookmarkStart w:id="0" w:name="_GoBack"/>
            <w:bookmarkEnd w:id="0"/>
            <w:r w:rsidRPr="0086105B">
              <w:rPr>
                <w:rFonts w:ascii="Trebuchet MS" w:hAnsi="Trebuchet MS"/>
                <w:szCs w:val="22"/>
              </w:rPr>
              <w:t>cient.  Land was divided up into hundreds and shire-reeves (sheriffs) to carry out the King’s orders.</w:t>
            </w:r>
          </w:p>
        </w:tc>
        <w:tc>
          <w:tcPr>
            <w:tcW w:w="2462" w:type="pct"/>
            <w:vAlign w:val="center"/>
          </w:tcPr>
          <w:p w:rsidR="00EE5702" w:rsidRPr="0086105B" w:rsidRDefault="00EE5702" w:rsidP="0086105B">
            <w:pPr>
              <w:spacing w:before="60" w:after="60"/>
              <w:ind w:left="170" w:right="170"/>
              <w:rPr>
                <w:rFonts w:ascii="Trebuchet MS" w:hAnsi="Trebuchet MS"/>
                <w:szCs w:val="22"/>
              </w:rPr>
            </w:pPr>
            <w:r w:rsidRPr="0086105B">
              <w:rPr>
                <w:rFonts w:ascii="Trebuchet MS" w:hAnsi="Trebuchet MS"/>
                <w:szCs w:val="22"/>
              </w:rPr>
              <w:t>Many people in the north were of Danish descent and were likely to support invasions by the Danes.</w:t>
            </w:r>
          </w:p>
        </w:tc>
      </w:tr>
      <w:tr w:rsidR="00EE5702" w:rsidRPr="0086105B" w:rsidTr="0086105B">
        <w:trPr>
          <w:trHeight w:val="794"/>
        </w:trPr>
        <w:tc>
          <w:tcPr>
            <w:tcW w:w="2538" w:type="pct"/>
            <w:vAlign w:val="center"/>
          </w:tcPr>
          <w:p w:rsidR="00EE5702" w:rsidRPr="0086105B" w:rsidRDefault="00EE5702" w:rsidP="0086105B">
            <w:pPr>
              <w:spacing w:before="60" w:after="60"/>
              <w:ind w:left="170" w:right="170"/>
              <w:rPr>
                <w:rFonts w:ascii="Trebuchet MS" w:hAnsi="Trebuchet MS"/>
                <w:szCs w:val="22"/>
              </w:rPr>
            </w:pPr>
            <w:r w:rsidRPr="0086105B">
              <w:rPr>
                <w:rFonts w:ascii="Trebuchet MS" w:hAnsi="Trebuchet MS"/>
                <w:szCs w:val="22"/>
              </w:rPr>
              <w:t>The Normans were experienced castle-builders.  Motte and bailey castles could be built quickly and provide protection for soldiers.</w:t>
            </w:r>
          </w:p>
        </w:tc>
        <w:tc>
          <w:tcPr>
            <w:tcW w:w="2462" w:type="pct"/>
            <w:vAlign w:val="center"/>
          </w:tcPr>
          <w:p w:rsidR="00EE5702" w:rsidRPr="0086105B" w:rsidRDefault="00EE5702" w:rsidP="0086105B">
            <w:pPr>
              <w:spacing w:before="60" w:after="60"/>
              <w:ind w:left="170" w:right="170"/>
              <w:rPr>
                <w:rFonts w:ascii="Trebuchet MS" w:hAnsi="Trebuchet MS"/>
                <w:szCs w:val="22"/>
              </w:rPr>
            </w:pPr>
            <w:r w:rsidRPr="0086105B">
              <w:rPr>
                <w:rFonts w:ascii="Trebuchet MS" w:hAnsi="Trebuchet MS"/>
                <w:szCs w:val="22"/>
              </w:rPr>
              <w:t>The King did not have many soldiers in England (probably around 7,000).  The population of England was about 2 million.</w:t>
            </w:r>
          </w:p>
        </w:tc>
      </w:tr>
      <w:tr w:rsidR="00EE5702" w:rsidRPr="0086105B" w:rsidTr="0086105B">
        <w:trPr>
          <w:trHeight w:val="794"/>
        </w:trPr>
        <w:tc>
          <w:tcPr>
            <w:tcW w:w="2538" w:type="pct"/>
            <w:vAlign w:val="center"/>
          </w:tcPr>
          <w:p w:rsidR="00EE5702" w:rsidRPr="0086105B" w:rsidRDefault="00EE5702" w:rsidP="0086105B">
            <w:pPr>
              <w:spacing w:before="60" w:after="60"/>
              <w:ind w:left="170" w:right="170"/>
              <w:rPr>
                <w:rFonts w:ascii="Trebuchet MS" w:hAnsi="Trebuchet MS"/>
                <w:szCs w:val="22"/>
              </w:rPr>
            </w:pPr>
            <w:r w:rsidRPr="0086105B">
              <w:rPr>
                <w:rFonts w:ascii="Trebuchet MS" w:hAnsi="Trebuchet MS"/>
                <w:szCs w:val="22"/>
              </w:rPr>
              <w:t>Many noblemen had been killed at the Battle of Hastings, but most landowners were still alive.</w:t>
            </w:r>
          </w:p>
        </w:tc>
        <w:tc>
          <w:tcPr>
            <w:tcW w:w="2462" w:type="pct"/>
            <w:vAlign w:val="center"/>
          </w:tcPr>
          <w:p w:rsidR="00EE5702" w:rsidRPr="0086105B" w:rsidRDefault="00EE5702" w:rsidP="0086105B">
            <w:pPr>
              <w:spacing w:before="60" w:after="60"/>
              <w:ind w:left="170" w:right="170"/>
              <w:rPr>
                <w:rFonts w:ascii="Trebuchet MS" w:hAnsi="Trebuchet MS"/>
                <w:szCs w:val="22"/>
              </w:rPr>
            </w:pPr>
            <w:r w:rsidRPr="0086105B">
              <w:rPr>
                <w:rFonts w:ascii="Trebuchet MS" w:hAnsi="Trebuchet MS"/>
                <w:szCs w:val="22"/>
              </w:rPr>
              <w:t>England was a Christian country and many parish churches had recently been built.  The Normans were also Christian and William was on good terms with the Pope.</w:t>
            </w:r>
          </w:p>
        </w:tc>
      </w:tr>
      <w:tr w:rsidR="00EE5702" w:rsidRPr="0086105B" w:rsidTr="0086105B">
        <w:trPr>
          <w:trHeight w:val="794"/>
        </w:trPr>
        <w:tc>
          <w:tcPr>
            <w:tcW w:w="2538" w:type="pct"/>
            <w:vAlign w:val="center"/>
          </w:tcPr>
          <w:p w:rsidR="00EE5702" w:rsidRPr="0086105B" w:rsidRDefault="00EE5702" w:rsidP="0086105B">
            <w:pPr>
              <w:spacing w:before="60" w:after="60"/>
              <w:ind w:left="170" w:right="170"/>
              <w:rPr>
                <w:rFonts w:ascii="Trebuchet MS" w:hAnsi="Trebuchet MS"/>
                <w:szCs w:val="22"/>
              </w:rPr>
            </w:pPr>
            <w:r w:rsidRPr="0086105B">
              <w:rPr>
                <w:rFonts w:ascii="Trebuchet MS" w:hAnsi="Trebuchet MS"/>
                <w:szCs w:val="22"/>
              </w:rPr>
              <w:t>The king of Scotland ha</w:t>
            </w:r>
            <w:r w:rsidR="00410B97" w:rsidRPr="0086105B">
              <w:rPr>
                <w:rFonts w:ascii="Trebuchet MS" w:hAnsi="Trebuchet MS"/>
                <w:szCs w:val="22"/>
              </w:rPr>
              <w:t>d</w:t>
            </w:r>
            <w:r w:rsidRPr="0086105B">
              <w:rPr>
                <w:rFonts w:ascii="Trebuchet MS" w:hAnsi="Trebuchet MS"/>
                <w:szCs w:val="22"/>
              </w:rPr>
              <w:t xml:space="preserve"> been known to offer shelter and protection to rebel noblemen.</w:t>
            </w:r>
          </w:p>
        </w:tc>
        <w:tc>
          <w:tcPr>
            <w:tcW w:w="2462" w:type="pct"/>
            <w:vAlign w:val="center"/>
          </w:tcPr>
          <w:p w:rsidR="00EE5702" w:rsidRPr="0086105B" w:rsidRDefault="00EE5702" w:rsidP="0086105B">
            <w:pPr>
              <w:spacing w:before="60" w:after="60"/>
              <w:ind w:left="170" w:right="170"/>
              <w:rPr>
                <w:rFonts w:ascii="Trebuchet MS" w:hAnsi="Trebuchet MS"/>
                <w:szCs w:val="22"/>
              </w:rPr>
            </w:pPr>
            <w:r w:rsidRPr="0086105B">
              <w:rPr>
                <w:rFonts w:ascii="Trebuchet MS" w:hAnsi="Trebuchet MS"/>
                <w:szCs w:val="22"/>
              </w:rPr>
              <w:t>Some of Harold’s sons were still alive.</w:t>
            </w:r>
          </w:p>
        </w:tc>
      </w:tr>
      <w:tr w:rsidR="00EE5702" w:rsidRPr="0086105B" w:rsidTr="0086105B">
        <w:trPr>
          <w:trHeight w:val="794"/>
        </w:trPr>
        <w:tc>
          <w:tcPr>
            <w:tcW w:w="2538" w:type="pct"/>
            <w:vAlign w:val="center"/>
          </w:tcPr>
          <w:p w:rsidR="00EE5702" w:rsidRPr="0086105B" w:rsidRDefault="00EE5702" w:rsidP="0086105B">
            <w:pPr>
              <w:spacing w:before="60" w:after="60"/>
              <w:ind w:left="170" w:right="170"/>
              <w:rPr>
                <w:rFonts w:ascii="Trebuchet MS" w:hAnsi="Trebuchet MS"/>
                <w:szCs w:val="22"/>
              </w:rPr>
            </w:pPr>
            <w:r w:rsidRPr="0086105B">
              <w:rPr>
                <w:rFonts w:ascii="Trebuchet MS" w:hAnsi="Trebuchet MS"/>
                <w:szCs w:val="22"/>
              </w:rPr>
              <w:t xml:space="preserve">The most important earls in England – Edgar the Atheling, Edwin and </w:t>
            </w:r>
            <w:proofErr w:type="spellStart"/>
            <w:r w:rsidRPr="0086105B">
              <w:rPr>
                <w:rFonts w:ascii="Trebuchet MS" w:hAnsi="Trebuchet MS"/>
                <w:szCs w:val="22"/>
              </w:rPr>
              <w:t>Morcar</w:t>
            </w:r>
            <w:proofErr w:type="spellEnd"/>
            <w:r w:rsidRPr="0086105B">
              <w:rPr>
                <w:rFonts w:ascii="Trebuchet MS" w:hAnsi="Trebuchet MS"/>
                <w:szCs w:val="22"/>
              </w:rPr>
              <w:t xml:space="preserve"> – were still alive but accepted William’s right to be king.</w:t>
            </w:r>
          </w:p>
        </w:tc>
        <w:tc>
          <w:tcPr>
            <w:tcW w:w="2462" w:type="pct"/>
            <w:vAlign w:val="center"/>
          </w:tcPr>
          <w:p w:rsidR="00EE5702" w:rsidRPr="0086105B" w:rsidRDefault="00EE5702" w:rsidP="0086105B">
            <w:pPr>
              <w:spacing w:before="60" w:after="60"/>
              <w:ind w:left="170" w:right="170"/>
              <w:rPr>
                <w:rFonts w:ascii="Trebuchet MS" w:hAnsi="Trebuchet MS"/>
                <w:szCs w:val="22"/>
              </w:rPr>
            </w:pPr>
            <w:r w:rsidRPr="0086105B">
              <w:rPr>
                <w:rFonts w:ascii="Trebuchet MS" w:hAnsi="Trebuchet MS"/>
                <w:szCs w:val="22"/>
              </w:rPr>
              <w:t>They were opposed to owning slaves on religious grounds, but slavery was still common in England.</w:t>
            </w:r>
          </w:p>
        </w:tc>
      </w:tr>
      <w:tr w:rsidR="00EE5702" w:rsidRPr="0086105B" w:rsidTr="0086105B">
        <w:trPr>
          <w:trHeight w:val="794"/>
        </w:trPr>
        <w:tc>
          <w:tcPr>
            <w:tcW w:w="2538" w:type="pct"/>
            <w:vAlign w:val="center"/>
          </w:tcPr>
          <w:p w:rsidR="00EE5702" w:rsidRPr="0086105B" w:rsidRDefault="00EE5702" w:rsidP="0086105B">
            <w:pPr>
              <w:spacing w:before="60" w:after="60"/>
              <w:ind w:left="170" w:right="170"/>
              <w:rPr>
                <w:rFonts w:ascii="Trebuchet MS" w:hAnsi="Trebuchet MS"/>
                <w:szCs w:val="22"/>
              </w:rPr>
            </w:pPr>
            <w:proofErr w:type="spellStart"/>
            <w:r w:rsidRPr="0086105B">
              <w:rPr>
                <w:rFonts w:ascii="Trebuchet MS" w:hAnsi="Trebuchet MS"/>
                <w:szCs w:val="22"/>
              </w:rPr>
              <w:t>Stigand</w:t>
            </w:r>
            <w:proofErr w:type="spellEnd"/>
            <w:r w:rsidRPr="0086105B">
              <w:rPr>
                <w:rFonts w:ascii="Trebuchet MS" w:hAnsi="Trebuchet MS"/>
                <w:szCs w:val="22"/>
              </w:rPr>
              <w:t>, the Archbishop of Canterbury, had been loyal to the Saxon royal family. The Pope disapproved of him being Archbishop.</w:t>
            </w:r>
          </w:p>
        </w:tc>
        <w:tc>
          <w:tcPr>
            <w:tcW w:w="2462" w:type="pct"/>
            <w:vAlign w:val="center"/>
          </w:tcPr>
          <w:p w:rsidR="00EE5702" w:rsidRPr="0086105B" w:rsidRDefault="00EE5702" w:rsidP="0086105B">
            <w:pPr>
              <w:spacing w:before="60" w:after="60"/>
              <w:ind w:left="170" w:right="170"/>
              <w:rPr>
                <w:rFonts w:ascii="Trebuchet MS" w:hAnsi="Trebuchet MS"/>
                <w:szCs w:val="22"/>
              </w:rPr>
            </w:pPr>
            <w:r w:rsidRPr="0086105B">
              <w:rPr>
                <w:rFonts w:ascii="Trebuchet MS" w:hAnsi="Trebuchet MS"/>
                <w:szCs w:val="22"/>
              </w:rPr>
              <w:t xml:space="preserve">One of the </w:t>
            </w:r>
            <w:proofErr w:type="gramStart"/>
            <w:r w:rsidRPr="0086105B">
              <w:rPr>
                <w:rFonts w:ascii="Trebuchet MS" w:hAnsi="Trebuchet MS"/>
                <w:szCs w:val="22"/>
              </w:rPr>
              <w:t>King’s</w:t>
            </w:r>
            <w:proofErr w:type="gramEnd"/>
            <w:r w:rsidRPr="0086105B">
              <w:rPr>
                <w:rFonts w:ascii="Trebuchet MS" w:hAnsi="Trebuchet MS"/>
                <w:szCs w:val="22"/>
              </w:rPr>
              <w:t xml:space="preserve"> trusted tactics when faced with rebellions was to ‘lay waste’ to the lands of rebels: killing livestock and destroying farmland.</w:t>
            </w:r>
          </w:p>
        </w:tc>
      </w:tr>
      <w:tr w:rsidR="00EE5702" w:rsidRPr="0086105B" w:rsidTr="0086105B">
        <w:trPr>
          <w:trHeight w:val="794"/>
        </w:trPr>
        <w:tc>
          <w:tcPr>
            <w:tcW w:w="2538" w:type="pct"/>
            <w:vAlign w:val="center"/>
          </w:tcPr>
          <w:p w:rsidR="00EE5702" w:rsidRPr="0086105B" w:rsidRDefault="00EE5702" w:rsidP="0086105B">
            <w:pPr>
              <w:spacing w:before="60" w:after="60"/>
              <w:ind w:left="170" w:right="170"/>
              <w:rPr>
                <w:rFonts w:ascii="Trebuchet MS" w:hAnsi="Trebuchet MS"/>
                <w:szCs w:val="22"/>
              </w:rPr>
            </w:pPr>
            <w:r w:rsidRPr="0086105B">
              <w:rPr>
                <w:rFonts w:ascii="Trebuchet MS" w:hAnsi="Trebuchet MS"/>
                <w:szCs w:val="22"/>
              </w:rPr>
              <w:t>The King and his noblemen now had land on both sides of the English Channel.</w:t>
            </w:r>
          </w:p>
        </w:tc>
        <w:tc>
          <w:tcPr>
            <w:tcW w:w="2462" w:type="pct"/>
            <w:vAlign w:val="center"/>
          </w:tcPr>
          <w:p w:rsidR="00EE5702" w:rsidRPr="0086105B" w:rsidRDefault="00EE5702" w:rsidP="0086105B">
            <w:pPr>
              <w:spacing w:before="60" w:after="60"/>
              <w:ind w:left="170" w:right="170"/>
              <w:rPr>
                <w:rFonts w:ascii="Trebuchet MS" w:hAnsi="Trebuchet MS"/>
                <w:szCs w:val="22"/>
              </w:rPr>
            </w:pPr>
            <w:r w:rsidRPr="0086105B">
              <w:rPr>
                <w:rFonts w:ascii="Trebuchet MS" w:hAnsi="Trebuchet MS"/>
                <w:szCs w:val="22"/>
              </w:rPr>
              <w:t>William had promised to give English lands to Normans who fought for him at Hastings.</w:t>
            </w:r>
          </w:p>
        </w:tc>
      </w:tr>
      <w:tr w:rsidR="00EE5702" w:rsidRPr="0086105B" w:rsidTr="0086105B">
        <w:trPr>
          <w:trHeight w:val="794"/>
        </w:trPr>
        <w:tc>
          <w:tcPr>
            <w:tcW w:w="2538" w:type="pct"/>
            <w:vAlign w:val="center"/>
          </w:tcPr>
          <w:p w:rsidR="00EE5702" w:rsidRPr="0086105B" w:rsidRDefault="00EE5702" w:rsidP="0086105B">
            <w:pPr>
              <w:spacing w:before="60" w:after="60"/>
              <w:ind w:left="170" w:right="170"/>
              <w:rPr>
                <w:rFonts w:ascii="Trebuchet MS" w:hAnsi="Trebuchet MS"/>
                <w:szCs w:val="22"/>
              </w:rPr>
            </w:pPr>
            <w:r w:rsidRPr="0086105B">
              <w:rPr>
                <w:rFonts w:ascii="Trebuchet MS" w:hAnsi="Trebuchet MS"/>
                <w:szCs w:val="22"/>
              </w:rPr>
              <w:t>The Welsh had frequently carried out border raids on English towns.  Harold had recently crushed some raids.</w:t>
            </w:r>
          </w:p>
        </w:tc>
        <w:tc>
          <w:tcPr>
            <w:tcW w:w="2462" w:type="pct"/>
            <w:tcBorders>
              <w:bottom w:val="dashed" w:sz="4" w:space="0" w:color="4F81BD" w:themeColor="accent1"/>
            </w:tcBorders>
            <w:vAlign w:val="center"/>
          </w:tcPr>
          <w:p w:rsidR="00EE5702" w:rsidRPr="0086105B" w:rsidRDefault="00EE5702" w:rsidP="0086105B">
            <w:pPr>
              <w:spacing w:before="60" w:after="60"/>
              <w:ind w:left="170" w:right="170"/>
              <w:rPr>
                <w:rFonts w:ascii="Trebuchet MS" w:hAnsi="Trebuchet MS"/>
                <w:szCs w:val="22"/>
              </w:rPr>
            </w:pPr>
            <w:r w:rsidRPr="0086105B">
              <w:rPr>
                <w:rFonts w:ascii="Trebuchet MS" w:hAnsi="Trebuchet MS"/>
                <w:szCs w:val="22"/>
              </w:rPr>
              <w:t>Some rebels realised that the Isle of Ely in East Anglia was easy to defend but difficult to attack.</w:t>
            </w:r>
          </w:p>
        </w:tc>
      </w:tr>
      <w:tr w:rsidR="00EE5702" w:rsidRPr="0086105B" w:rsidTr="0086105B">
        <w:trPr>
          <w:trHeight w:val="794"/>
        </w:trPr>
        <w:tc>
          <w:tcPr>
            <w:tcW w:w="2538" w:type="pct"/>
            <w:vAlign w:val="center"/>
          </w:tcPr>
          <w:p w:rsidR="00EE5702" w:rsidRPr="0086105B" w:rsidRDefault="00EE5702" w:rsidP="0086105B">
            <w:pPr>
              <w:spacing w:before="60" w:after="60"/>
              <w:ind w:left="170" w:right="170"/>
              <w:rPr>
                <w:rFonts w:ascii="Trebuchet MS" w:hAnsi="Trebuchet MS"/>
                <w:szCs w:val="22"/>
              </w:rPr>
            </w:pPr>
            <w:r w:rsidRPr="0086105B">
              <w:rPr>
                <w:rFonts w:ascii="Trebuchet MS" w:hAnsi="Trebuchet MS"/>
                <w:szCs w:val="22"/>
              </w:rPr>
              <w:t>The English did not have a ready-made army.  To defend England, Edward the Confessor had spent money on the navy instead.</w:t>
            </w:r>
          </w:p>
        </w:tc>
        <w:tc>
          <w:tcPr>
            <w:tcW w:w="2462" w:type="pct"/>
            <w:tcBorders>
              <w:bottom w:val="nil"/>
              <w:right w:val="nil"/>
            </w:tcBorders>
            <w:vAlign w:val="center"/>
          </w:tcPr>
          <w:p w:rsidR="00EE5702" w:rsidRPr="0086105B" w:rsidRDefault="00EE5702" w:rsidP="0086105B">
            <w:pPr>
              <w:spacing w:before="60" w:after="60"/>
              <w:ind w:left="170" w:right="170"/>
              <w:rPr>
                <w:rFonts w:ascii="Trebuchet MS" w:hAnsi="Trebuchet MS"/>
                <w:szCs w:val="22"/>
              </w:rPr>
            </w:pPr>
          </w:p>
        </w:tc>
      </w:tr>
    </w:tbl>
    <w:p w:rsidR="00EE5702" w:rsidRDefault="00EE5702" w:rsidP="00EE5702">
      <w:pPr>
        <w:widowControl w:val="0"/>
        <w:autoSpaceDE w:val="0"/>
        <w:autoSpaceDN w:val="0"/>
        <w:adjustRightInd w:val="0"/>
        <w:spacing w:after="0"/>
        <w:rPr>
          <w:rFonts w:ascii="Arial" w:hAnsi="Arial" w:cs="Arial"/>
          <w:b/>
          <w:color w:val="4F81BD" w:themeColor="accent1"/>
          <w:szCs w:val="22"/>
        </w:rPr>
      </w:pPr>
    </w:p>
    <w:sectPr w:rsidR="00EE5702" w:rsidSect="00EE5702">
      <w:pgSz w:w="16839" w:h="11907" w:orient="landscape"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702" w:rsidRDefault="00EE5702" w:rsidP="00B55A21">
      <w:r>
        <w:separator/>
      </w:r>
    </w:p>
  </w:endnote>
  <w:endnote w:type="continuationSeparator" w:id="0">
    <w:p w:rsidR="00EE5702" w:rsidRDefault="00EE5702"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QA Chevin Pro Medium">
    <w:altName w:val="AQA Chevin Pro Medium"/>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5A" w:rsidRPr="004E3635" w:rsidRDefault="005A275A" w:rsidP="004E3635">
    <w:pPr>
      <w:pStyle w:val="Footer"/>
      <w:tabs>
        <w:tab w:val="clear" w:pos="4513"/>
        <w:tab w:val="clear" w:pos="9026"/>
        <w:tab w:val="right" w:pos="9638"/>
      </w:tabs>
      <w:spacing w:after="0"/>
      <w:rPr>
        <w:rFonts w:ascii="Arial" w:hAnsi="Arial" w:cs="Arial"/>
        <w:sz w:val="20"/>
      </w:rPr>
    </w:pPr>
    <w:r w:rsidRPr="002A1A48">
      <w:rPr>
        <w:rFonts w:ascii="Arial" w:hAnsi="Arial" w:cs="Arial"/>
        <w:sz w:val="20"/>
        <w:lang w:val="en-US"/>
      </w:rPr>
      <w:t>© 201</w:t>
    </w:r>
    <w:r w:rsidR="00364E81">
      <w:rPr>
        <w:rFonts w:ascii="Arial" w:hAnsi="Arial" w:cs="Arial"/>
        <w:sz w:val="20"/>
        <w:lang w:val="en-US"/>
      </w:rPr>
      <w:t>6</w:t>
    </w:r>
    <w:r w:rsidRPr="002A1A48">
      <w:rPr>
        <w:rFonts w:ascii="Arial" w:hAnsi="Arial" w:cs="Arial"/>
        <w:sz w:val="20"/>
        <w:lang w:val="en-US"/>
      </w:rPr>
      <w:t xml:space="preserve"> AQA. Created by Teachit for AQA</w:t>
    </w:r>
    <w:r>
      <w:rPr>
        <w:rFonts w:ascii="Arial" w:hAnsi="Arial" w:cs="Arial"/>
        <w:sz w:val="20"/>
        <w:lang w:val="en-US"/>
      </w:rPr>
      <w:tab/>
    </w:r>
    <w:r w:rsidRPr="002A1428">
      <w:rPr>
        <w:rFonts w:ascii="Arial" w:hAnsi="Arial" w:cs="Arial"/>
        <w:sz w:val="20"/>
        <w:lang w:val="en-US"/>
      </w:rPr>
      <w:t xml:space="preserve">Page </w:t>
    </w:r>
    <w:r w:rsidRPr="002A1428">
      <w:rPr>
        <w:rFonts w:ascii="Arial" w:hAnsi="Arial" w:cs="Arial"/>
        <w:bCs/>
        <w:sz w:val="20"/>
        <w:lang w:val="en-US"/>
      </w:rPr>
      <w:fldChar w:fldCharType="begin"/>
    </w:r>
    <w:r w:rsidRPr="002A1428">
      <w:rPr>
        <w:rFonts w:ascii="Arial" w:hAnsi="Arial" w:cs="Arial"/>
        <w:bCs/>
        <w:sz w:val="20"/>
        <w:lang w:val="en-US"/>
      </w:rPr>
      <w:instrText xml:space="preserve"> PAGE  \* Arabic  \* MERGEFORMAT </w:instrText>
    </w:r>
    <w:r w:rsidRPr="002A1428">
      <w:rPr>
        <w:rFonts w:ascii="Arial" w:hAnsi="Arial" w:cs="Arial"/>
        <w:bCs/>
        <w:sz w:val="20"/>
        <w:lang w:val="en-US"/>
      </w:rPr>
      <w:fldChar w:fldCharType="separate"/>
    </w:r>
    <w:r w:rsidR="00EE5702">
      <w:rPr>
        <w:rFonts w:ascii="Arial" w:hAnsi="Arial" w:cs="Arial"/>
        <w:bCs/>
        <w:noProof/>
        <w:sz w:val="20"/>
        <w:lang w:val="en-US"/>
      </w:rPr>
      <w:t>2</w:t>
    </w:r>
    <w:r w:rsidRPr="002A1428">
      <w:rPr>
        <w:rFonts w:ascii="Arial" w:hAnsi="Arial" w:cs="Arial"/>
        <w:bCs/>
        <w:sz w:val="20"/>
        <w:lang w:val="en-US"/>
      </w:rPr>
      <w:fldChar w:fldCharType="end"/>
    </w:r>
    <w:r w:rsidRPr="002A1428">
      <w:rPr>
        <w:rFonts w:ascii="Arial" w:hAnsi="Arial" w:cs="Arial"/>
        <w:sz w:val="20"/>
        <w:lang w:val="en-US"/>
      </w:rPr>
      <w:t xml:space="preserve"> of </w:t>
    </w:r>
    <w:r w:rsidRPr="002A1428">
      <w:rPr>
        <w:rFonts w:ascii="Arial" w:hAnsi="Arial" w:cs="Arial"/>
        <w:bCs/>
        <w:sz w:val="20"/>
        <w:lang w:val="en-US"/>
      </w:rPr>
      <w:fldChar w:fldCharType="begin"/>
    </w:r>
    <w:r w:rsidRPr="002A1428">
      <w:rPr>
        <w:rFonts w:ascii="Arial" w:hAnsi="Arial" w:cs="Arial"/>
        <w:bCs/>
        <w:sz w:val="20"/>
        <w:lang w:val="en-US"/>
      </w:rPr>
      <w:instrText xml:space="preserve"> NUMPAGES  \* Arabic  \* MERGEFORMAT </w:instrText>
    </w:r>
    <w:r w:rsidRPr="002A1428">
      <w:rPr>
        <w:rFonts w:ascii="Arial" w:hAnsi="Arial" w:cs="Arial"/>
        <w:bCs/>
        <w:sz w:val="20"/>
        <w:lang w:val="en-US"/>
      </w:rPr>
      <w:fldChar w:fldCharType="separate"/>
    </w:r>
    <w:r w:rsidR="00E64969">
      <w:rPr>
        <w:rFonts w:ascii="Arial" w:hAnsi="Arial" w:cs="Arial"/>
        <w:bCs/>
        <w:noProof/>
        <w:sz w:val="20"/>
        <w:lang w:val="en-US"/>
      </w:rPr>
      <w:t>3</w:t>
    </w:r>
    <w:r w:rsidRPr="002A1428">
      <w:rPr>
        <w:rFonts w:ascii="Arial" w:hAnsi="Arial" w:cs="Arial"/>
        <w:bCs/>
        <w:sz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5B" w:rsidRPr="00B55A21" w:rsidRDefault="0086105B" w:rsidP="0086105B">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25941</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E64969">
      <w:rPr>
        <w:rFonts w:ascii="Arial" w:hAnsi="Arial" w:cs="Arial"/>
        <w:bCs/>
        <w:noProof/>
        <w:sz w:val="20"/>
      </w:rPr>
      <w:t>1</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E64969">
      <w:rPr>
        <w:rFonts w:ascii="Arial" w:hAnsi="Arial" w:cs="Arial"/>
        <w:bCs/>
        <w:noProof/>
        <w:sz w:val="20"/>
      </w:rPr>
      <w:t>3</w:t>
    </w:r>
    <w:r w:rsidRPr="00B55A21">
      <w:rPr>
        <w:rFonts w:ascii="Arial" w:hAnsi="Arial" w:cs="Arial"/>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5B" w:rsidRPr="00B55A21" w:rsidRDefault="0086105B" w:rsidP="0086105B">
    <w:pPr>
      <w:pStyle w:val="Footer"/>
      <w:pBdr>
        <w:top w:val="single" w:sz="4" w:space="1" w:color="auto"/>
      </w:pBdr>
      <w:tabs>
        <w:tab w:val="clear" w:pos="4513"/>
        <w:tab w:val="clear" w:pos="9026"/>
        <w:tab w:val="center" w:pos="7371"/>
        <w:tab w:val="right" w:pos="14570"/>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25941</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E64969">
      <w:rPr>
        <w:rFonts w:ascii="Arial" w:hAnsi="Arial" w:cs="Arial"/>
        <w:bCs/>
        <w:noProof/>
        <w:sz w:val="20"/>
      </w:rPr>
      <w:t>3</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E64969">
      <w:rPr>
        <w:rFonts w:ascii="Arial" w:hAnsi="Arial" w:cs="Arial"/>
        <w:bCs/>
        <w:noProof/>
        <w:sz w:val="20"/>
      </w:rPr>
      <w:t>3</w:t>
    </w:r>
    <w:r w:rsidRPr="00B55A21">
      <w:rPr>
        <w:rFonts w:ascii="Arial" w:hAnsi="Arial" w:cs="Arial"/>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702" w:rsidRDefault="00EE5702" w:rsidP="00B55A21">
      <w:r>
        <w:separator/>
      </w:r>
    </w:p>
  </w:footnote>
  <w:footnote w:type="continuationSeparator" w:id="0">
    <w:p w:rsidR="00EE5702" w:rsidRDefault="00EE5702"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5B" w:rsidRPr="00B76C1C" w:rsidRDefault="0086105B" w:rsidP="0086105B">
    <w:pPr>
      <w:pStyle w:val="Header"/>
      <w:pBdr>
        <w:bottom w:val="single" w:sz="4" w:space="1" w:color="auto"/>
      </w:pBdr>
      <w:spacing w:after="240" w:line="240" w:lineRule="auto"/>
      <w:jc w:val="right"/>
      <w:rPr>
        <w:rFonts w:ascii="Arial" w:hAnsi="Arial" w:cs="Arial"/>
        <w:sz w:val="28"/>
      </w:rPr>
    </w:pPr>
    <w:r w:rsidRPr="0086105B">
      <w:rPr>
        <w:rFonts w:ascii="Arial" w:hAnsi="Arial" w:cs="Arial"/>
        <w:sz w:val="28"/>
      </w:rPr>
      <w:t>William’s problems: SWOT analysis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5B" w:rsidRPr="00B76C1C" w:rsidRDefault="0086105B" w:rsidP="0086105B">
    <w:pPr>
      <w:pStyle w:val="Header"/>
      <w:pBdr>
        <w:bottom w:val="single" w:sz="4" w:space="1" w:color="auto"/>
      </w:pBdr>
      <w:spacing w:after="240" w:line="240" w:lineRule="auto"/>
      <w:jc w:val="right"/>
      <w:rPr>
        <w:rFonts w:ascii="Arial" w:hAnsi="Arial" w:cs="Arial"/>
        <w:sz w:val="28"/>
      </w:rPr>
    </w:pPr>
    <w:r w:rsidRPr="00EE5702">
      <w:rPr>
        <w:noProof/>
        <w:sz w:val="28"/>
      </w:rPr>
      <w:t>William’s problems: SWOT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0D1"/>
    <w:multiLevelType w:val="hybridMultilevel"/>
    <w:tmpl w:val="86607258"/>
    <w:lvl w:ilvl="0" w:tplc="129669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B73B0E"/>
    <w:multiLevelType w:val="hybridMultilevel"/>
    <w:tmpl w:val="5A389082"/>
    <w:lvl w:ilvl="0" w:tplc="363E48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0426C1"/>
    <w:multiLevelType w:val="hybridMultilevel"/>
    <w:tmpl w:val="AC00FB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5958E8"/>
    <w:multiLevelType w:val="hybridMultilevel"/>
    <w:tmpl w:val="D50A847C"/>
    <w:lvl w:ilvl="0" w:tplc="1F5A0C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1B5927"/>
    <w:multiLevelType w:val="hybridMultilevel"/>
    <w:tmpl w:val="1034155A"/>
    <w:lvl w:ilvl="0" w:tplc="8CB691A2">
      <w:start w:val="1"/>
      <w:numFmt w:val="decimal"/>
      <w:lvlText w:val="%1."/>
      <w:lvlJc w:val="left"/>
      <w:pPr>
        <w:ind w:left="360" w:hanging="360"/>
      </w:pPr>
      <w:rPr>
        <w:rFonts w:hint="default"/>
        <w:b/>
        <w:color w:val="4F81BD"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7C5BD4"/>
    <w:multiLevelType w:val="hybridMultilevel"/>
    <w:tmpl w:val="4CE2FA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AE7264B"/>
    <w:multiLevelType w:val="hybridMultilevel"/>
    <w:tmpl w:val="F586A024"/>
    <w:lvl w:ilvl="0" w:tplc="3660775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545479F"/>
    <w:multiLevelType w:val="hybridMultilevel"/>
    <w:tmpl w:val="35544DAA"/>
    <w:lvl w:ilvl="0" w:tplc="04B4DA1E">
      <w:start w:val="1"/>
      <w:numFmt w:val="bullet"/>
      <w:lvlText w:val=""/>
      <w:lvlJc w:val="left"/>
      <w:pPr>
        <w:ind w:left="360" w:hanging="360"/>
      </w:pPr>
      <w:rPr>
        <w:rFonts w:ascii="Symbol" w:hAnsi="Symbol" w:hint="default"/>
        <w:color w:val="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6CC63F7"/>
    <w:multiLevelType w:val="hybridMultilevel"/>
    <w:tmpl w:val="73062B0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9D976FD"/>
    <w:multiLevelType w:val="hybridMultilevel"/>
    <w:tmpl w:val="580C19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B9E525F"/>
    <w:multiLevelType w:val="hybridMultilevel"/>
    <w:tmpl w:val="AF1C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A13767"/>
    <w:multiLevelType w:val="hybridMultilevel"/>
    <w:tmpl w:val="C72C5E38"/>
    <w:lvl w:ilvl="0" w:tplc="E1BED800">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79D1F4D"/>
    <w:multiLevelType w:val="hybridMultilevel"/>
    <w:tmpl w:val="9920CC06"/>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85A7153"/>
    <w:multiLevelType w:val="hybridMultilevel"/>
    <w:tmpl w:val="1C12281E"/>
    <w:lvl w:ilvl="0" w:tplc="76982A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2852CF"/>
    <w:multiLevelType w:val="hybridMultilevel"/>
    <w:tmpl w:val="BF3C13E4"/>
    <w:lvl w:ilvl="0" w:tplc="0809000F">
      <w:start w:val="1"/>
      <w:numFmt w:val="decimal"/>
      <w:lvlText w:val="%1."/>
      <w:lvlJc w:val="left"/>
      <w:pPr>
        <w:ind w:left="1080" w:hanging="360"/>
      </w:pPr>
    </w:lvl>
    <w:lvl w:ilvl="1" w:tplc="65E68DCE">
      <w:start w:val="1"/>
      <w:numFmt w:val="decimal"/>
      <w:lvlText w:val="%2."/>
      <w:lvlJc w:val="left"/>
      <w:pPr>
        <w:ind w:left="1800" w:hanging="360"/>
      </w:pPr>
      <w:rPr>
        <w:rFonts w:hint="default"/>
        <w:b/>
        <w:color w:val="auto"/>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0D4165F"/>
    <w:multiLevelType w:val="hybridMultilevel"/>
    <w:tmpl w:val="CEBA3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2E1D7A"/>
    <w:multiLevelType w:val="hybridMultilevel"/>
    <w:tmpl w:val="A2225E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4534232"/>
    <w:multiLevelType w:val="hybridMultilevel"/>
    <w:tmpl w:val="B01A4434"/>
    <w:lvl w:ilvl="0" w:tplc="CB481ACE">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4AD3026"/>
    <w:multiLevelType w:val="hybridMultilevel"/>
    <w:tmpl w:val="97F64A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6CB6119"/>
    <w:multiLevelType w:val="hybridMultilevel"/>
    <w:tmpl w:val="9F8E9EE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8631324"/>
    <w:multiLevelType w:val="hybridMultilevel"/>
    <w:tmpl w:val="4E92BD3A"/>
    <w:lvl w:ilvl="0" w:tplc="E0D624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07325F"/>
    <w:multiLevelType w:val="hybridMultilevel"/>
    <w:tmpl w:val="D0E6BFFA"/>
    <w:lvl w:ilvl="0" w:tplc="730C073A">
      <w:start w:val="1"/>
      <w:numFmt w:val="decimal"/>
      <w:lvlText w:val="%1."/>
      <w:lvlJc w:val="left"/>
      <w:pPr>
        <w:ind w:left="360" w:hanging="360"/>
      </w:pPr>
      <w:rPr>
        <w:rFonts w:hint="default"/>
        <w:b/>
        <w:color w:val="4F81BD" w:themeColor="accent1"/>
      </w:rPr>
    </w:lvl>
    <w:lvl w:ilvl="1" w:tplc="2FF4104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1D451FC"/>
    <w:multiLevelType w:val="hybridMultilevel"/>
    <w:tmpl w:val="288E1B5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2227A57"/>
    <w:multiLevelType w:val="hybridMultilevel"/>
    <w:tmpl w:val="4FCE2B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6550D96"/>
    <w:multiLevelType w:val="hybridMultilevel"/>
    <w:tmpl w:val="CD085AAC"/>
    <w:lvl w:ilvl="0" w:tplc="DFF2CA18">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3F4025"/>
    <w:multiLevelType w:val="hybridMultilevel"/>
    <w:tmpl w:val="F98876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6D1B3D"/>
    <w:multiLevelType w:val="hybridMultilevel"/>
    <w:tmpl w:val="560A2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4561EC"/>
    <w:multiLevelType w:val="hybridMultilevel"/>
    <w:tmpl w:val="CC0459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FC2C0E"/>
    <w:multiLevelType w:val="hybridMultilevel"/>
    <w:tmpl w:val="AFB07B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17"/>
  </w:num>
  <w:num w:numId="4">
    <w:abstractNumId w:val="1"/>
  </w:num>
  <w:num w:numId="5">
    <w:abstractNumId w:val="3"/>
  </w:num>
  <w:num w:numId="6">
    <w:abstractNumId w:val="24"/>
  </w:num>
  <w:num w:numId="7">
    <w:abstractNumId w:val="5"/>
  </w:num>
  <w:num w:numId="8">
    <w:abstractNumId w:val="18"/>
  </w:num>
  <w:num w:numId="9">
    <w:abstractNumId w:val="22"/>
  </w:num>
  <w:num w:numId="10">
    <w:abstractNumId w:val="28"/>
  </w:num>
  <w:num w:numId="11">
    <w:abstractNumId w:val="2"/>
  </w:num>
  <w:num w:numId="12">
    <w:abstractNumId w:val="27"/>
  </w:num>
  <w:num w:numId="13">
    <w:abstractNumId w:val="6"/>
  </w:num>
  <w:num w:numId="14">
    <w:abstractNumId w:val="9"/>
  </w:num>
  <w:num w:numId="15">
    <w:abstractNumId w:val="23"/>
  </w:num>
  <w:num w:numId="16">
    <w:abstractNumId w:val="12"/>
  </w:num>
  <w:num w:numId="17">
    <w:abstractNumId w:val="21"/>
  </w:num>
  <w:num w:numId="18">
    <w:abstractNumId w:val="20"/>
  </w:num>
  <w:num w:numId="19">
    <w:abstractNumId w:val="4"/>
  </w:num>
  <w:num w:numId="20">
    <w:abstractNumId w:val="11"/>
  </w:num>
  <w:num w:numId="21">
    <w:abstractNumId w:val="15"/>
  </w:num>
  <w:num w:numId="22">
    <w:abstractNumId w:val="19"/>
  </w:num>
  <w:num w:numId="23">
    <w:abstractNumId w:val="25"/>
  </w:num>
  <w:num w:numId="24">
    <w:abstractNumId w:val="8"/>
  </w:num>
  <w:num w:numId="25">
    <w:abstractNumId w:val="14"/>
  </w:num>
  <w:num w:numId="26">
    <w:abstractNumId w:val="26"/>
  </w:num>
  <w:num w:numId="27">
    <w:abstractNumId w:val="16"/>
  </w:num>
  <w:num w:numId="28">
    <w:abstractNumId w:val="1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702"/>
    <w:rsid w:val="000049BD"/>
    <w:rsid w:val="00023A04"/>
    <w:rsid w:val="00042095"/>
    <w:rsid w:val="00061D8E"/>
    <w:rsid w:val="000837CC"/>
    <w:rsid w:val="00103E2D"/>
    <w:rsid w:val="001159BC"/>
    <w:rsid w:val="00126B69"/>
    <w:rsid w:val="00130307"/>
    <w:rsid w:val="0013391B"/>
    <w:rsid w:val="00143E17"/>
    <w:rsid w:val="001616D4"/>
    <w:rsid w:val="00176273"/>
    <w:rsid w:val="001C00EE"/>
    <w:rsid w:val="001C5720"/>
    <w:rsid w:val="001D163E"/>
    <w:rsid w:val="001D32E4"/>
    <w:rsid w:val="0020751D"/>
    <w:rsid w:val="0021123A"/>
    <w:rsid w:val="00267D83"/>
    <w:rsid w:val="002707A7"/>
    <w:rsid w:val="00290EEF"/>
    <w:rsid w:val="002A1A48"/>
    <w:rsid w:val="002E0E51"/>
    <w:rsid w:val="002E1A12"/>
    <w:rsid w:val="003032E5"/>
    <w:rsid w:val="00345035"/>
    <w:rsid w:val="00350E6B"/>
    <w:rsid w:val="0035577E"/>
    <w:rsid w:val="003566CF"/>
    <w:rsid w:val="00364E81"/>
    <w:rsid w:val="00365391"/>
    <w:rsid w:val="00367B88"/>
    <w:rsid w:val="00375955"/>
    <w:rsid w:val="003970BB"/>
    <w:rsid w:val="003A3096"/>
    <w:rsid w:val="003E70BA"/>
    <w:rsid w:val="00400B59"/>
    <w:rsid w:val="00410B97"/>
    <w:rsid w:val="004459D8"/>
    <w:rsid w:val="004639A3"/>
    <w:rsid w:val="0047108E"/>
    <w:rsid w:val="00477604"/>
    <w:rsid w:val="004800D1"/>
    <w:rsid w:val="0048614F"/>
    <w:rsid w:val="00487E78"/>
    <w:rsid w:val="00493042"/>
    <w:rsid w:val="004E3635"/>
    <w:rsid w:val="00517673"/>
    <w:rsid w:val="00530AD4"/>
    <w:rsid w:val="005425F7"/>
    <w:rsid w:val="00542AB1"/>
    <w:rsid w:val="00557A11"/>
    <w:rsid w:val="00590819"/>
    <w:rsid w:val="0059452D"/>
    <w:rsid w:val="005A275A"/>
    <w:rsid w:val="005C6E8F"/>
    <w:rsid w:val="005D3985"/>
    <w:rsid w:val="005D5D10"/>
    <w:rsid w:val="005D6D03"/>
    <w:rsid w:val="00641C6D"/>
    <w:rsid w:val="00663950"/>
    <w:rsid w:val="00674F08"/>
    <w:rsid w:val="00691963"/>
    <w:rsid w:val="00697CF3"/>
    <w:rsid w:val="006A3013"/>
    <w:rsid w:val="006B07D6"/>
    <w:rsid w:val="006D2640"/>
    <w:rsid w:val="006D644F"/>
    <w:rsid w:val="006F2C72"/>
    <w:rsid w:val="007247A9"/>
    <w:rsid w:val="00727968"/>
    <w:rsid w:val="00752C92"/>
    <w:rsid w:val="00766A36"/>
    <w:rsid w:val="00773944"/>
    <w:rsid w:val="00776C0B"/>
    <w:rsid w:val="00780D66"/>
    <w:rsid w:val="00796466"/>
    <w:rsid w:val="007A6623"/>
    <w:rsid w:val="007B0ABB"/>
    <w:rsid w:val="008148D3"/>
    <w:rsid w:val="00832FC5"/>
    <w:rsid w:val="00843822"/>
    <w:rsid w:val="008453E3"/>
    <w:rsid w:val="00855583"/>
    <w:rsid w:val="0086105B"/>
    <w:rsid w:val="0089203D"/>
    <w:rsid w:val="008A0EE5"/>
    <w:rsid w:val="008B1CF5"/>
    <w:rsid w:val="008B4044"/>
    <w:rsid w:val="008B5163"/>
    <w:rsid w:val="008D5F7B"/>
    <w:rsid w:val="008F7260"/>
    <w:rsid w:val="00927DE8"/>
    <w:rsid w:val="009850A8"/>
    <w:rsid w:val="009B0853"/>
    <w:rsid w:val="009C1C75"/>
    <w:rsid w:val="009D33AA"/>
    <w:rsid w:val="009D4C94"/>
    <w:rsid w:val="009E1128"/>
    <w:rsid w:val="009F7B2D"/>
    <w:rsid w:val="00A10E3A"/>
    <w:rsid w:val="00A5270E"/>
    <w:rsid w:val="00A66049"/>
    <w:rsid w:val="00A72A88"/>
    <w:rsid w:val="00A80785"/>
    <w:rsid w:val="00A87FAC"/>
    <w:rsid w:val="00AA25B5"/>
    <w:rsid w:val="00AD3E0B"/>
    <w:rsid w:val="00AF0A05"/>
    <w:rsid w:val="00AF4288"/>
    <w:rsid w:val="00AF67A6"/>
    <w:rsid w:val="00B0206B"/>
    <w:rsid w:val="00B303E6"/>
    <w:rsid w:val="00B34705"/>
    <w:rsid w:val="00B55A21"/>
    <w:rsid w:val="00B60003"/>
    <w:rsid w:val="00B626A0"/>
    <w:rsid w:val="00B75B94"/>
    <w:rsid w:val="00B8652C"/>
    <w:rsid w:val="00B97D24"/>
    <w:rsid w:val="00BB08D4"/>
    <w:rsid w:val="00BB23F0"/>
    <w:rsid w:val="00BB43B8"/>
    <w:rsid w:val="00BB6A9D"/>
    <w:rsid w:val="00BB6C16"/>
    <w:rsid w:val="00BB76D4"/>
    <w:rsid w:val="00BD7B7D"/>
    <w:rsid w:val="00C02AC2"/>
    <w:rsid w:val="00C630EB"/>
    <w:rsid w:val="00C65C12"/>
    <w:rsid w:val="00C767DF"/>
    <w:rsid w:val="00C82C44"/>
    <w:rsid w:val="00C94541"/>
    <w:rsid w:val="00CC2F4E"/>
    <w:rsid w:val="00CE03EB"/>
    <w:rsid w:val="00D03B6B"/>
    <w:rsid w:val="00D10B8B"/>
    <w:rsid w:val="00D35D25"/>
    <w:rsid w:val="00D66A33"/>
    <w:rsid w:val="00D85841"/>
    <w:rsid w:val="00D939AE"/>
    <w:rsid w:val="00DF016D"/>
    <w:rsid w:val="00DF1B7B"/>
    <w:rsid w:val="00DF7B5E"/>
    <w:rsid w:val="00E0327F"/>
    <w:rsid w:val="00E06D1F"/>
    <w:rsid w:val="00E075CC"/>
    <w:rsid w:val="00E10416"/>
    <w:rsid w:val="00E13A52"/>
    <w:rsid w:val="00E17369"/>
    <w:rsid w:val="00E261E9"/>
    <w:rsid w:val="00E37563"/>
    <w:rsid w:val="00E61F4F"/>
    <w:rsid w:val="00E64969"/>
    <w:rsid w:val="00E97679"/>
    <w:rsid w:val="00EC7CBF"/>
    <w:rsid w:val="00EE5702"/>
    <w:rsid w:val="00EF7DB0"/>
    <w:rsid w:val="00F134C9"/>
    <w:rsid w:val="00F13567"/>
    <w:rsid w:val="00F311B9"/>
    <w:rsid w:val="00F4428E"/>
    <w:rsid w:val="00F4584C"/>
    <w:rsid w:val="00F46CD3"/>
    <w:rsid w:val="00F47184"/>
    <w:rsid w:val="00F73D1E"/>
    <w:rsid w:val="00F75AA3"/>
    <w:rsid w:val="00FA4BD2"/>
    <w:rsid w:val="00FB3BC6"/>
    <w:rsid w:val="00FC2CEF"/>
    <w:rsid w:val="00FD1678"/>
    <w:rsid w:val="00FD1A30"/>
    <w:rsid w:val="00FF1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4E81"/>
    <w:pPr>
      <w:spacing w:after="120" w:line="276" w:lineRule="auto"/>
    </w:pPr>
    <w:rPr>
      <w:rFonts w:asciiTheme="minorHAnsi" w:eastAsia="Calibri" w:hAnsiTheme="minorHAnsi"/>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5D5D10"/>
    <w:pPr>
      <w:ind w:left="720"/>
      <w:contextualSpacing/>
    </w:pPr>
  </w:style>
  <w:style w:type="table" w:styleId="TableGrid">
    <w:name w:val="Table Grid"/>
    <w:basedOn w:val="TableNormal"/>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semiHidden/>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semiHidden/>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86105B"/>
    <w:pPr>
      <w:widowControl w:val="0"/>
      <w:shd w:val="clear" w:color="auto" w:fill="DAEEF3" w:themeFill="accent5" w:themeFillTint="33"/>
      <w:autoSpaceDE w:val="0"/>
      <w:autoSpaceDN w:val="0"/>
      <w:adjustRightInd w:val="0"/>
      <w:spacing w:after="0" w:line="240" w:lineRule="auto"/>
    </w:pPr>
    <w:rPr>
      <w:rFonts w:ascii="Trebuchet MS" w:hAnsi="Trebuchet MS" w:cs="Arial"/>
      <w:color w:val="000000" w:themeColor="text1"/>
      <w:sz w:val="28"/>
      <w:szCs w:val="22"/>
    </w:rPr>
  </w:style>
  <w:style w:type="character" w:customStyle="1" w:styleId="HeadingChar">
    <w:name w:val="_Heading Char"/>
    <w:basedOn w:val="DefaultParagraphFont"/>
    <w:link w:val="Heading"/>
    <w:rsid w:val="0086105B"/>
    <w:rPr>
      <w:rFonts w:eastAsia="Calibri" w:cs="Arial"/>
      <w:color w:val="000000" w:themeColor="text1"/>
      <w:sz w:val="28"/>
      <w:szCs w:val="22"/>
      <w:shd w:val="clear" w:color="auto" w:fill="DAEEF3" w:themeFill="accent5"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4E81"/>
    <w:pPr>
      <w:spacing w:after="120" w:line="276" w:lineRule="auto"/>
    </w:pPr>
    <w:rPr>
      <w:rFonts w:asciiTheme="minorHAnsi" w:eastAsia="Calibri" w:hAnsiTheme="minorHAnsi"/>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5D5D10"/>
    <w:pPr>
      <w:ind w:left="720"/>
      <w:contextualSpacing/>
    </w:pPr>
  </w:style>
  <w:style w:type="table" w:styleId="TableGrid">
    <w:name w:val="Table Grid"/>
    <w:basedOn w:val="TableNormal"/>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semiHidden/>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semiHidden/>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86105B"/>
    <w:pPr>
      <w:widowControl w:val="0"/>
      <w:shd w:val="clear" w:color="auto" w:fill="DAEEF3" w:themeFill="accent5" w:themeFillTint="33"/>
      <w:autoSpaceDE w:val="0"/>
      <w:autoSpaceDN w:val="0"/>
      <w:adjustRightInd w:val="0"/>
      <w:spacing w:after="0" w:line="240" w:lineRule="auto"/>
    </w:pPr>
    <w:rPr>
      <w:rFonts w:ascii="Trebuchet MS" w:hAnsi="Trebuchet MS" w:cs="Arial"/>
      <w:color w:val="000000" w:themeColor="text1"/>
      <w:sz w:val="28"/>
      <w:szCs w:val="22"/>
    </w:rPr>
  </w:style>
  <w:style w:type="character" w:customStyle="1" w:styleId="HeadingChar">
    <w:name w:val="_Heading Char"/>
    <w:basedOn w:val="DefaultParagraphFont"/>
    <w:link w:val="Heading"/>
    <w:rsid w:val="0086105B"/>
    <w:rPr>
      <w:rFonts w:eastAsia="Calibri" w:cs="Arial"/>
      <w:color w:val="000000" w:themeColor="text1"/>
      <w:sz w:val="28"/>
      <w:szCs w:val="22"/>
      <w:shd w:val="clear" w:color="auto" w:fill="DAEEF3" w:themeFill="accent5"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AQA\Subject%20teams\_AQA%20Word%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8FCD3-DB7F-41CF-9581-E443A677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_AQA Word template 2016</Template>
  <TotalTime>5</TotalTime>
  <Pages>3</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Yasmin Gorle</cp:lastModifiedBy>
  <cp:revision>5</cp:revision>
  <cp:lastPrinted>2016-06-20T08:54:00Z</cp:lastPrinted>
  <dcterms:created xsi:type="dcterms:W3CDTF">2016-06-20T08:49:00Z</dcterms:created>
  <dcterms:modified xsi:type="dcterms:W3CDTF">2016-06-20T08:54:00Z</dcterms:modified>
</cp:coreProperties>
</file>